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B97B3" w14:textId="77777777" w:rsidR="00F923AD" w:rsidRDefault="00F923AD" w:rsidP="006775E2"/>
    <w:tbl>
      <w:tblPr>
        <w:tblStyle w:val="Tablaconcuadrcula"/>
        <w:tblW w:w="10774" w:type="dxa"/>
        <w:tblInd w:w="-714" w:type="dxa"/>
        <w:tblLook w:val="04A0" w:firstRow="1" w:lastRow="0" w:firstColumn="1" w:lastColumn="0" w:noHBand="0" w:noVBand="1"/>
      </w:tblPr>
      <w:tblGrid>
        <w:gridCol w:w="1843"/>
        <w:gridCol w:w="8931"/>
      </w:tblGrid>
      <w:tr w:rsidR="006775E2" w:rsidRPr="006775E2" w14:paraId="1A7F65FF" w14:textId="77777777" w:rsidTr="007A7802">
        <w:tc>
          <w:tcPr>
            <w:tcW w:w="1843" w:type="dxa"/>
            <w:shd w:val="clear" w:color="auto" w:fill="C6D9F1" w:themeFill="text2" w:themeFillTint="33"/>
          </w:tcPr>
          <w:p w14:paraId="5AD7895D" w14:textId="77777777" w:rsidR="006775E2" w:rsidRPr="006775E2" w:rsidRDefault="006775E2" w:rsidP="006775E2">
            <w:pPr>
              <w:rPr>
                <w:rFonts w:ascii="Arial" w:hAnsi="Arial" w:cs="Arial"/>
                <w:b/>
              </w:rPr>
            </w:pPr>
            <w:r w:rsidRPr="006775E2">
              <w:rPr>
                <w:rFonts w:ascii="Arial" w:hAnsi="Arial" w:cs="Arial"/>
                <w:b/>
              </w:rPr>
              <w:t xml:space="preserve">AREA </w:t>
            </w:r>
          </w:p>
        </w:tc>
        <w:tc>
          <w:tcPr>
            <w:tcW w:w="8931" w:type="dxa"/>
          </w:tcPr>
          <w:p w14:paraId="19BD9EBD" w14:textId="711D66D4" w:rsidR="006775E2" w:rsidRPr="006775E2" w:rsidRDefault="00BC10ED" w:rsidP="006775E2">
            <w:pPr>
              <w:rPr>
                <w:rFonts w:ascii="Arial" w:hAnsi="Arial" w:cs="Arial"/>
                <w:b/>
              </w:rPr>
            </w:pPr>
            <w:r>
              <w:rPr>
                <w:rFonts w:ascii="Arial" w:hAnsi="Arial" w:cs="Arial"/>
                <w:b/>
              </w:rPr>
              <w:t>Ciencias Sociales</w:t>
            </w:r>
          </w:p>
        </w:tc>
      </w:tr>
      <w:tr w:rsidR="007A7802" w:rsidRPr="006775E2" w14:paraId="11BA5A49" w14:textId="77777777" w:rsidTr="007A7802">
        <w:tc>
          <w:tcPr>
            <w:tcW w:w="1843" w:type="dxa"/>
            <w:shd w:val="clear" w:color="auto" w:fill="C6D9F1" w:themeFill="text2" w:themeFillTint="33"/>
          </w:tcPr>
          <w:p w14:paraId="34FAF303" w14:textId="41EAEF5E" w:rsidR="007A7802" w:rsidRPr="006775E2" w:rsidRDefault="007A7802" w:rsidP="006775E2">
            <w:pPr>
              <w:rPr>
                <w:rFonts w:ascii="Arial" w:hAnsi="Arial" w:cs="Arial"/>
                <w:b/>
              </w:rPr>
            </w:pPr>
            <w:r>
              <w:rPr>
                <w:rFonts w:ascii="Arial" w:hAnsi="Arial" w:cs="Arial"/>
                <w:b/>
              </w:rPr>
              <w:t>PERÍODO</w:t>
            </w:r>
          </w:p>
        </w:tc>
        <w:tc>
          <w:tcPr>
            <w:tcW w:w="8931" w:type="dxa"/>
          </w:tcPr>
          <w:p w14:paraId="1A498685" w14:textId="1EEBBB31" w:rsidR="007A7802" w:rsidRPr="006775E2" w:rsidRDefault="00A6747A" w:rsidP="006775E2">
            <w:pPr>
              <w:rPr>
                <w:rFonts w:ascii="Arial" w:hAnsi="Arial" w:cs="Arial"/>
                <w:b/>
              </w:rPr>
            </w:pPr>
            <w:r>
              <w:rPr>
                <w:rFonts w:ascii="Arial" w:hAnsi="Arial" w:cs="Arial"/>
                <w:b/>
              </w:rPr>
              <w:t>Primer</w:t>
            </w:r>
          </w:p>
        </w:tc>
      </w:tr>
      <w:tr w:rsidR="006775E2" w:rsidRPr="006775E2" w14:paraId="1D8CFFA9" w14:textId="77777777" w:rsidTr="007A7802">
        <w:tc>
          <w:tcPr>
            <w:tcW w:w="1843" w:type="dxa"/>
            <w:shd w:val="clear" w:color="auto" w:fill="C6D9F1" w:themeFill="text2" w:themeFillTint="33"/>
          </w:tcPr>
          <w:p w14:paraId="247896FE" w14:textId="77777777" w:rsidR="006775E2" w:rsidRPr="006775E2" w:rsidRDefault="006775E2" w:rsidP="006775E2">
            <w:pPr>
              <w:rPr>
                <w:rFonts w:ascii="Arial" w:hAnsi="Arial" w:cs="Arial"/>
                <w:b/>
              </w:rPr>
            </w:pPr>
            <w:r>
              <w:rPr>
                <w:rFonts w:ascii="Arial" w:hAnsi="Arial" w:cs="Arial"/>
                <w:b/>
              </w:rPr>
              <w:t>DOCENTE</w:t>
            </w:r>
          </w:p>
        </w:tc>
        <w:tc>
          <w:tcPr>
            <w:tcW w:w="8931" w:type="dxa"/>
          </w:tcPr>
          <w:p w14:paraId="41456052" w14:textId="03B300A7" w:rsidR="006775E2" w:rsidRPr="006775E2" w:rsidRDefault="00A6747A" w:rsidP="006775E2">
            <w:pPr>
              <w:rPr>
                <w:rFonts w:ascii="Arial" w:hAnsi="Arial" w:cs="Arial"/>
                <w:b/>
              </w:rPr>
            </w:pPr>
            <w:r>
              <w:rPr>
                <w:rFonts w:ascii="Arial" w:hAnsi="Arial" w:cs="Arial"/>
                <w:b/>
              </w:rPr>
              <w:t>Lina Marcela Correa Vargas</w:t>
            </w:r>
          </w:p>
        </w:tc>
      </w:tr>
      <w:tr w:rsidR="004E611E" w:rsidRPr="006775E2" w14:paraId="6FAA7AFF" w14:textId="77777777" w:rsidTr="007A7802">
        <w:tc>
          <w:tcPr>
            <w:tcW w:w="1843" w:type="dxa"/>
            <w:shd w:val="clear" w:color="auto" w:fill="C6D9F1" w:themeFill="text2" w:themeFillTint="33"/>
          </w:tcPr>
          <w:p w14:paraId="4538B004" w14:textId="77777777" w:rsidR="004E611E" w:rsidRDefault="004E611E" w:rsidP="006775E2">
            <w:pPr>
              <w:rPr>
                <w:rFonts w:ascii="Arial" w:hAnsi="Arial" w:cs="Arial"/>
                <w:b/>
              </w:rPr>
            </w:pPr>
            <w:r>
              <w:rPr>
                <w:rFonts w:ascii="Arial" w:hAnsi="Arial" w:cs="Arial"/>
                <w:b/>
              </w:rPr>
              <w:t xml:space="preserve">GRADO </w:t>
            </w:r>
          </w:p>
        </w:tc>
        <w:tc>
          <w:tcPr>
            <w:tcW w:w="8931" w:type="dxa"/>
          </w:tcPr>
          <w:p w14:paraId="2AC55715" w14:textId="2D7A7388" w:rsidR="004E611E" w:rsidRPr="006775E2" w:rsidRDefault="00BC10ED" w:rsidP="006775E2">
            <w:pPr>
              <w:rPr>
                <w:rFonts w:ascii="Arial" w:hAnsi="Arial" w:cs="Arial"/>
                <w:b/>
              </w:rPr>
            </w:pPr>
            <w:r>
              <w:rPr>
                <w:rFonts w:ascii="Arial" w:hAnsi="Arial" w:cs="Arial"/>
                <w:b/>
              </w:rPr>
              <w:t>7</w:t>
            </w:r>
            <w:r w:rsidR="00A6747A">
              <w:rPr>
                <w:rFonts w:ascii="Arial" w:hAnsi="Arial" w:cs="Arial"/>
                <w:b/>
              </w:rPr>
              <w:t>°</w:t>
            </w:r>
          </w:p>
        </w:tc>
      </w:tr>
    </w:tbl>
    <w:p w14:paraId="7A3D7594" w14:textId="77777777" w:rsidR="006775E2" w:rsidRDefault="006775E2" w:rsidP="006775E2"/>
    <w:p w14:paraId="22D4B32B" w14:textId="77777777" w:rsidR="007A5EC4" w:rsidRPr="007A5EC4" w:rsidRDefault="007A5EC4" w:rsidP="006775E2">
      <w:pPr>
        <w:rPr>
          <w:rFonts w:ascii="Arial" w:hAnsi="Arial" w:cs="Arial"/>
          <w:b/>
        </w:rPr>
      </w:pPr>
    </w:p>
    <w:p w14:paraId="54EA2A99" w14:textId="26306B0B" w:rsidR="007A5EC4" w:rsidRDefault="007A5EC4" w:rsidP="007A7802">
      <w:pPr>
        <w:shd w:val="clear" w:color="auto" w:fill="C6D9F1" w:themeFill="text2" w:themeFillTint="33"/>
        <w:jc w:val="center"/>
        <w:rPr>
          <w:rFonts w:ascii="Arial" w:hAnsi="Arial" w:cs="Arial"/>
          <w:b/>
        </w:rPr>
      </w:pPr>
      <w:r w:rsidRPr="007A5EC4">
        <w:rPr>
          <w:rFonts w:ascii="Arial" w:hAnsi="Arial" w:cs="Arial"/>
          <w:b/>
        </w:rPr>
        <w:t>ACTIVIDAD</w:t>
      </w:r>
    </w:p>
    <w:p w14:paraId="36710F57" w14:textId="77777777" w:rsidR="007A5EC4" w:rsidRDefault="007A5EC4" w:rsidP="006775E2">
      <w:pPr>
        <w:rPr>
          <w:rFonts w:ascii="Arial" w:hAnsi="Arial" w:cs="Arial"/>
          <w:b/>
        </w:rPr>
      </w:pPr>
    </w:p>
    <w:p w14:paraId="48A0D193" w14:textId="77777777" w:rsidR="00BC10ED" w:rsidRPr="00BC10ED" w:rsidRDefault="00BC10ED" w:rsidP="00BC10ED">
      <w:pPr>
        <w:rPr>
          <w:lang w:val="es-MX"/>
        </w:rPr>
      </w:pPr>
    </w:p>
    <w:p w14:paraId="5C94CF84" w14:textId="77777777" w:rsidR="00BC10ED" w:rsidRPr="00BC10ED" w:rsidRDefault="00BC10ED" w:rsidP="00BC10ED">
      <w:pPr>
        <w:jc w:val="center"/>
        <w:rPr>
          <w:b/>
          <w:bCs/>
          <w:lang w:val="es-MX"/>
        </w:rPr>
      </w:pPr>
      <w:r w:rsidRPr="00BC10ED">
        <w:rPr>
          <w:b/>
          <w:bCs/>
          <w:lang w:val="es-MX"/>
        </w:rPr>
        <w:t>Reclutamiento de menores de edad.</w:t>
      </w:r>
    </w:p>
    <w:p w14:paraId="53E9CFFF" w14:textId="77777777" w:rsidR="00BC10ED" w:rsidRPr="00BC10ED" w:rsidRDefault="00BC10ED" w:rsidP="00BC10ED">
      <w:pPr>
        <w:rPr>
          <w:lang w:val="es-MX"/>
        </w:rPr>
      </w:pPr>
      <w:r w:rsidRPr="00BC10ED">
        <w:rPr>
          <w:lang w:val="es-MX"/>
        </w:rPr>
        <w:t xml:space="preserve"> </w:t>
      </w:r>
    </w:p>
    <w:p w14:paraId="4BDD49B2" w14:textId="3BB1DB72" w:rsidR="00BC10ED" w:rsidRPr="00BC10ED" w:rsidRDefault="00BC10ED" w:rsidP="00BC10ED">
      <w:pPr>
        <w:jc w:val="both"/>
        <w:rPr>
          <w:lang w:val="es-MX"/>
        </w:rPr>
      </w:pPr>
      <w:r w:rsidRPr="00BC10ED">
        <w:rPr>
          <w:lang w:val="es-MX"/>
        </w:rPr>
        <w:t xml:space="preserve">«[Mi mamá] se puso a llorar y me abrazó, dijo que no hiciera eso, que mejor ayudara a papá y yo le dije: “No, mamá, yo no aguanto más eso, yo quiero ayudarlos”. […] Me gané 500.000 pesos y el comandante me mandó a llamar, me dijo que, si quería sacar a mi familia adelante, que me metiera con ellos. Yo le dije que no sabía si fuera capaz, no sabía si aguantaría con el fusil, la maleta y toda esa vaina, me dijo que solamente era de miliciano». El reclutamiento de niños, niñas y adolescentes menores de 15 años es un </w:t>
      </w:r>
      <w:r w:rsidRPr="00BC10ED">
        <w:rPr>
          <w:u w:val="single"/>
          <w:lang w:val="es-MX"/>
        </w:rPr>
        <w:t>crimen de guerra</w:t>
      </w:r>
      <w:r w:rsidRPr="00BC10ED">
        <w:rPr>
          <w:lang w:val="es-MX"/>
        </w:rPr>
        <w:t xml:space="preserve"> prohibido por el </w:t>
      </w:r>
      <w:r w:rsidRPr="00BC10ED">
        <w:rPr>
          <w:u w:val="single"/>
          <w:lang w:val="es-MX"/>
        </w:rPr>
        <w:t>DIH.</w:t>
      </w:r>
      <w:r w:rsidRPr="00BC10ED">
        <w:rPr>
          <w:lang w:val="es-MX"/>
        </w:rPr>
        <w:t xml:space="preserve"> Esta práctica común y generalizada se ha dado desde hace </w:t>
      </w:r>
      <w:r w:rsidRPr="00BC10ED">
        <w:rPr>
          <w:u w:val="single"/>
          <w:lang w:val="es-MX"/>
        </w:rPr>
        <w:t>décadas</w:t>
      </w:r>
      <w:r w:rsidRPr="00BC10ED">
        <w:rPr>
          <w:lang w:val="es-MX"/>
        </w:rPr>
        <w:t xml:space="preserve"> y persiste en la actualidad. También se presentó al interior de la </w:t>
      </w:r>
      <w:r w:rsidRPr="00BC10ED">
        <w:rPr>
          <w:u w:val="single"/>
          <w:lang w:val="es-MX"/>
        </w:rPr>
        <w:t>fuerza pública</w:t>
      </w:r>
      <w:r w:rsidRPr="00BC10ED">
        <w:rPr>
          <w:lang w:val="es-MX"/>
        </w:rPr>
        <w:t xml:space="preserve"> en una época (tuvo personas menores de 18 años incorporadas al menos hasta 1996, cuando era legal) con registros de informes, denuncias y testimonios sobre acciones cívico-militares o de infiltración e inteligencia, en las que involucran en actividades militares a niñas y niños. Entendemos por reclutamiento «cualquier modalidad de vinculación o involucramiento de niños, niñas y adolescentes en actividades de los grupos armados tanto legales (Fuerzas Militares) como ilegales (guerrillas y paramilitares) en el conflicto armado interno, ya sea que dicha participación sea directa o indirecta en las </w:t>
      </w:r>
      <w:r w:rsidRPr="00BC10ED">
        <w:rPr>
          <w:u w:val="single"/>
          <w:lang w:val="es-MX"/>
        </w:rPr>
        <w:t>hostilidades</w:t>
      </w:r>
      <w:r w:rsidRPr="00BC10ED">
        <w:rPr>
          <w:lang w:val="es-MX"/>
        </w:rPr>
        <w:t xml:space="preserve">. Las acciones o </w:t>
      </w:r>
      <w:r w:rsidRPr="00BC10ED">
        <w:rPr>
          <w:u w:val="single"/>
          <w:lang w:val="es-MX"/>
        </w:rPr>
        <w:t>roles</w:t>
      </w:r>
      <w:r w:rsidRPr="00BC10ED">
        <w:rPr>
          <w:lang w:val="es-MX"/>
        </w:rPr>
        <w:t xml:space="preserve"> que se incluyen dentro de las formas de utilización son acciones </w:t>
      </w:r>
      <w:r w:rsidRPr="00BC10ED">
        <w:rPr>
          <w:u w:val="single"/>
          <w:lang w:val="es-MX"/>
        </w:rPr>
        <w:t>bélicas</w:t>
      </w:r>
      <w:r w:rsidRPr="00BC10ED">
        <w:rPr>
          <w:lang w:val="es-MX"/>
        </w:rPr>
        <w:t xml:space="preserve">, actividades de vigilancia e inteligencia, actividades logísticas o administrativas, actividades relacionadas con el narcotráfico y financiación u obtención de recursos para el actor armado». Las actividades que les impusieron fueron aquellas en las que los combatientes consideraban que podrían desempeñarse con mayor eficacia. Esto incluye combates, actividades de soporte, uso como guías, tareas de logística, abastecimiento o guardia de personas secuestradas. Además de la estrategia de reclutamiento de estos grupos, la falta de oportunidades y la desprotección social han sido parte del contexto favorecedor de la permanencia del reclutamiento en la actualidad. Algunas condiciones que propician el reclutamiento son los contextos de violencia, pobreza, miseria, exclusión social y ausencia, violencia o abandono familiar. Aumentó el reclutamiento y uso de niños, niñas y adolescentes durante los periodos de mayor confrontación o de desdoblamiento de frentes. La vinculación nombra las distintas formas en que las niñas, niños y adolescentes pueden ser instrumentalizados, llevados a cumplir una tarea o asumir algún rol a favor de un actor armado, </w:t>
      </w:r>
      <w:r w:rsidRPr="00BC10ED">
        <w:rPr>
          <w:lang w:val="es-MX"/>
        </w:rPr>
        <w:lastRenderedPageBreak/>
        <w:t xml:space="preserve">y se puede ejecutar mediante el uso y la utilización. La utilización no implica la participación directa en hostilidades, pero es igualmente victimizante porque </w:t>
      </w:r>
      <w:r w:rsidRPr="00BC10ED">
        <w:rPr>
          <w:u w:val="single"/>
          <w:lang w:val="es-MX"/>
        </w:rPr>
        <w:t>vulnera</w:t>
      </w:r>
      <w:r w:rsidRPr="00BC10ED">
        <w:rPr>
          <w:lang w:val="es-MX"/>
        </w:rPr>
        <w:t xml:space="preserve"> derechos de la niñez y adolescencia, además del principio de distinción. La normatividad prohíbe cualquier forma de instrumentalización, relación, aproximación o abordaje por parte de los grupos armados con la que pretendan beneficiarse de niñas, niños y adolescentes, más aún si pretenden que desempeñen cualquier función a su favor. Dentro de las actividades más recurrentes están las de informante, infiltrado y mensajero; otros niños, niñas y adolescentes menores de 18 años participaron en combates y muchos murieron. El deseo de venganza por el asesinato de seres queridos también se mencionó como motivo de ingreso en el grupo. En ocasiones la imposición es ejercida con violencia, amenazando a las víctimas y a sus familiares. También existen registros de algunas </w:t>
      </w:r>
      <w:r w:rsidRPr="00BC10ED">
        <w:rPr>
          <w:u w:val="single"/>
          <w:lang w:val="es-MX"/>
        </w:rPr>
        <w:t>acciones cívico-militares</w:t>
      </w:r>
      <w:r w:rsidRPr="00BC10ED">
        <w:rPr>
          <w:lang w:val="es-MX"/>
        </w:rPr>
        <w:t xml:space="preserve"> que pusieron en riesgo o utilizaron niñas y niños, de interrogatorios e imposición de patrullajes conjuntos con niñas, niños y adolescentes desvinculados de grupos armados, de la utilización de niñas y niños como informantes y de la infiltración de menores de edad en filas de grupos armados por parte de la fuerza pública. Cualquier tipo de vinculación de niños, niñas y adolescentes al conflicto armado los expone a condiciones que </w:t>
      </w:r>
      <w:r w:rsidRPr="00BC10ED">
        <w:rPr>
          <w:u w:val="single"/>
          <w:lang w:val="es-MX"/>
        </w:rPr>
        <w:t xml:space="preserve">incrementan </w:t>
      </w:r>
      <w:r w:rsidRPr="00BC10ED">
        <w:rPr>
          <w:lang w:val="es-MX"/>
        </w:rPr>
        <w:t xml:space="preserve">el riesgo de sufrir otras violaciones tales como la muerte y </w:t>
      </w:r>
      <w:r w:rsidRPr="00BC10ED">
        <w:rPr>
          <w:u w:val="single"/>
          <w:lang w:val="es-MX"/>
        </w:rPr>
        <w:t>desaparición forzada</w:t>
      </w:r>
      <w:r w:rsidRPr="00BC10ED">
        <w:rPr>
          <w:lang w:val="es-MX"/>
        </w:rPr>
        <w:t xml:space="preserve">, trabajos forzados, las amenazas, las violencias sexuales y el </w:t>
      </w:r>
      <w:r w:rsidRPr="00BC10ED">
        <w:rPr>
          <w:u w:val="single"/>
          <w:lang w:val="es-MX"/>
        </w:rPr>
        <w:t>desplazamiento forzado</w:t>
      </w:r>
      <w:r w:rsidRPr="00BC10ED">
        <w:rPr>
          <w:lang w:val="es-MX"/>
        </w:rPr>
        <w:t xml:space="preserve">. Este crimen tuvo un fuerte impacto no solo en las niñas, niños y adolescentes, sino en sus familias. Los momentos de expansión territorial de los actores armados y de multiplicación de sus estructuras, así como los periodos de mayor conflicto entre actores armados, influyen en la necesidad de tener más combatientes y potencian la intensidad de reclutamiento, así como la flexibilización de las normas que lo rigen. Según la integración final de datos del proyecto conjunto </w:t>
      </w:r>
      <w:r w:rsidRPr="00BC10ED">
        <w:rPr>
          <w:u w:val="single"/>
          <w:lang w:val="es-MX"/>
        </w:rPr>
        <w:t>JEP</w:t>
      </w:r>
      <w:r w:rsidRPr="00BC10ED">
        <w:rPr>
          <w:lang w:val="es-MX"/>
        </w:rPr>
        <w:t xml:space="preserve">-CEV-HRDAG, desde 1990 hasta 2017 se registraron 16.238 casos de reclutamiento de niñas, niños y adolescentes a lo largo del país. Además, teniendo en cuenta el potencial </w:t>
      </w:r>
      <w:r w:rsidRPr="00BC10ED">
        <w:rPr>
          <w:u w:val="single"/>
          <w:lang w:val="es-MX"/>
        </w:rPr>
        <w:t>subregistro</w:t>
      </w:r>
      <w:r w:rsidRPr="00BC10ED">
        <w:rPr>
          <w:lang w:val="es-MX"/>
        </w:rPr>
        <w:t>. La mayor intensidad de reclutamiento se registró en los departamentos de Meta, con 2.977 víctimas (18 %); Antioquia, con 2.346 víctimas (14 %); Guaviare, con 1.105 víctimas (7 %); Caquetá, con 1.063 víctimas (6 %), y Cauca, con 838 víctimas (5 %).</w:t>
      </w:r>
    </w:p>
    <w:p w14:paraId="03610643" w14:textId="77777777" w:rsidR="00BC10ED" w:rsidRPr="00BC10ED" w:rsidRDefault="00BC10ED" w:rsidP="00BC10ED">
      <w:pPr>
        <w:rPr>
          <w:lang w:val="es-MX"/>
        </w:rPr>
      </w:pPr>
    </w:p>
    <w:p w14:paraId="3C39EE97" w14:textId="77777777" w:rsidR="00BC10ED" w:rsidRPr="00BC10ED" w:rsidRDefault="00BC10ED" w:rsidP="00BC10ED">
      <w:pPr>
        <w:jc w:val="right"/>
        <w:rPr>
          <w:b/>
          <w:bCs/>
          <w:sz w:val="20"/>
          <w:szCs w:val="20"/>
          <w:lang w:val="es-MX"/>
        </w:rPr>
      </w:pPr>
      <w:r w:rsidRPr="00BC10ED">
        <w:rPr>
          <w:b/>
          <w:bCs/>
          <w:sz w:val="20"/>
          <w:szCs w:val="20"/>
          <w:lang w:val="es-MX"/>
        </w:rPr>
        <w:t>Tomado de: Hay futuro si hay verdad. Informe Final de la Comisión para el Esclarecimiento de la Verdad, la Convivencia y la No Repetición. Bogotá, Colombia, agosto de 2022</w:t>
      </w:r>
    </w:p>
    <w:p w14:paraId="1582DDD1" w14:textId="77777777" w:rsidR="00BC10ED" w:rsidRPr="00BC10ED" w:rsidRDefault="00BC10ED" w:rsidP="00BC10ED">
      <w:pPr>
        <w:jc w:val="right"/>
        <w:rPr>
          <w:b/>
          <w:bCs/>
          <w:sz w:val="20"/>
          <w:szCs w:val="20"/>
          <w:lang w:val="es-MX"/>
        </w:rPr>
      </w:pPr>
    </w:p>
    <w:p w14:paraId="58844EED" w14:textId="2342143B" w:rsidR="00BC10ED" w:rsidRPr="00BC10ED" w:rsidRDefault="00BC10ED" w:rsidP="00BC10ED">
      <w:pPr>
        <w:rPr>
          <w:lang w:val="es-MX"/>
        </w:rPr>
      </w:pPr>
      <w:r w:rsidRPr="00BC10ED">
        <w:rPr>
          <w:lang w:val="es-MX"/>
        </w:rPr>
        <w:t xml:space="preserve">1. Consulta y </w:t>
      </w:r>
      <w:r w:rsidR="00A42865">
        <w:rPr>
          <w:lang w:val="es-MX"/>
        </w:rPr>
        <w:t xml:space="preserve">escribe la </w:t>
      </w:r>
      <w:r w:rsidRPr="00BC10ED">
        <w:rPr>
          <w:lang w:val="es-MX"/>
        </w:rPr>
        <w:t>defin</w:t>
      </w:r>
      <w:r w:rsidR="00A42865">
        <w:rPr>
          <w:lang w:val="es-MX"/>
        </w:rPr>
        <w:t>ición</w:t>
      </w:r>
      <w:r w:rsidRPr="00BC10ED">
        <w:rPr>
          <w:lang w:val="es-MX"/>
        </w:rPr>
        <w:t xml:space="preserve"> las palabras subrayadas. </w:t>
      </w:r>
    </w:p>
    <w:p w14:paraId="66D4B62F" w14:textId="7897AD3B" w:rsidR="00BC10ED" w:rsidRDefault="00BC10ED" w:rsidP="00BC10ED">
      <w:pPr>
        <w:rPr>
          <w:lang w:val="es-MX"/>
        </w:rPr>
      </w:pPr>
      <w:r w:rsidRPr="00BC10ED">
        <w:rPr>
          <w:lang w:val="es-MX"/>
        </w:rPr>
        <w:t>2. Realiza el mapa político de Colombia y ubique los departamentos con mayor intensidad de reclutamiento de menores.</w:t>
      </w:r>
      <w:r w:rsidR="00DB0DC4">
        <w:rPr>
          <w:lang w:val="es-MX"/>
        </w:rPr>
        <w:t xml:space="preserve"> </w:t>
      </w:r>
    </w:p>
    <w:p w14:paraId="6E43DE26" w14:textId="23E31F1C" w:rsidR="00DB0DC4" w:rsidRPr="00BC10ED" w:rsidRDefault="00DB0DC4" w:rsidP="00BC10ED">
      <w:pPr>
        <w:rPr>
          <w:lang w:val="es-MX"/>
        </w:rPr>
      </w:pPr>
      <w:r>
        <w:rPr>
          <w:lang w:val="es-MX"/>
        </w:rPr>
        <w:t xml:space="preserve">3. Haga una gráfica para representar los años y los registros que se tienen sobre el reclutamiento de menores. </w:t>
      </w:r>
    </w:p>
    <w:p w14:paraId="095E0BFC" w14:textId="7ACE91E1" w:rsidR="00BC10ED" w:rsidRPr="00BC10ED" w:rsidRDefault="00DB0DC4" w:rsidP="00BC10ED">
      <w:pPr>
        <w:rPr>
          <w:lang w:val="es-MX"/>
        </w:rPr>
      </w:pPr>
      <w:r>
        <w:rPr>
          <w:lang w:val="es-MX"/>
        </w:rPr>
        <w:t>4</w:t>
      </w:r>
      <w:r w:rsidR="00BC10ED" w:rsidRPr="00BC10ED">
        <w:rPr>
          <w:lang w:val="es-MX"/>
        </w:rPr>
        <w:t xml:space="preserve">. </w:t>
      </w:r>
      <w:r>
        <w:rPr>
          <w:lang w:val="es-MX"/>
        </w:rPr>
        <w:t xml:space="preserve">A partir de la lectura y consulta que puedas realizar, </w:t>
      </w:r>
      <w:r w:rsidR="00BC10ED" w:rsidRPr="00BC10ED">
        <w:rPr>
          <w:lang w:val="es-MX"/>
        </w:rPr>
        <w:t>qué problemáticas genera el reclutamiento de menores de edad en el espacio rural y urbano de Colombia.</w:t>
      </w:r>
    </w:p>
    <w:p w14:paraId="77FE6D07" w14:textId="06B8817E" w:rsidR="00BC10ED" w:rsidRPr="00BC10ED" w:rsidRDefault="00DB0DC4" w:rsidP="00BC10ED">
      <w:pPr>
        <w:rPr>
          <w:lang w:val="es-MX"/>
        </w:rPr>
      </w:pPr>
      <w:r>
        <w:rPr>
          <w:lang w:val="es-MX"/>
        </w:rPr>
        <w:t>5</w:t>
      </w:r>
      <w:r w:rsidR="00BC10ED" w:rsidRPr="00BC10ED">
        <w:rPr>
          <w:lang w:val="es-MX"/>
        </w:rPr>
        <w:t xml:space="preserve">. Revise los diez primeros artículos de la Constitución política de Colombia y diga cuáles </w:t>
      </w:r>
      <w:r>
        <w:rPr>
          <w:lang w:val="es-MX"/>
        </w:rPr>
        <w:t xml:space="preserve">de ellos </w:t>
      </w:r>
      <w:r w:rsidR="00BC10ED" w:rsidRPr="00BC10ED">
        <w:rPr>
          <w:lang w:val="es-MX"/>
        </w:rPr>
        <w:t xml:space="preserve">no se cumplen cuando hay reclutamiento de menores y por qué. </w:t>
      </w:r>
    </w:p>
    <w:p w14:paraId="76A9A55E" w14:textId="752953AF" w:rsidR="00BC10ED" w:rsidRPr="00BC10ED" w:rsidRDefault="00D400DD" w:rsidP="00BC10ED">
      <w:pPr>
        <w:rPr>
          <w:lang w:val="es-MX"/>
        </w:rPr>
      </w:pPr>
      <w:r>
        <w:rPr>
          <w:lang w:val="es-MX"/>
        </w:rPr>
        <w:lastRenderedPageBreak/>
        <w:t>6</w:t>
      </w:r>
      <w:r w:rsidR="00BC10ED" w:rsidRPr="00BC10ED">
        <w:rPr>
          <w:lang w:val="es-MX"/>
        </w:rPr>
        <w:t xml:space="preserve">. Haga un </w:t>
      </w:r>
      <w:proofErr w:type="spellStart"/>
      <w:r w:rsidR="00BC10ED" w:rsidRPr="00BC10ED">
        <w:rPr>
          <w:lang w:val="es-MX"/>
        </w:rPr>
        <w:t>infograma</w:t>
      </w:r>
      <w:proofErr w:type="spellEnd"/>
      <w:r w:rsidR="00BC10ED" w:rsidRPr="00BC10ED">
        <w:rPr>
          <w:lang w:val="es-MX"/>
        </w:rPr>
        <w:t xml:space="preserve"> sobre el texto.</w:t>
      </w:r>
    </w:p>
    <w:p w14:paraId="653A02DA" w14:textId="35C4F90C" w:rsidR="00BC10ED" w:rsidRPr="00BC10ED" w:rsidRDefault="00D400DD" w:rsidP="00BC10ED">
      <w:pPr>
        <w:rPr>
          <w:lang w:val="es-MX"/>
        </w:rPr>
      </w:pPr>
      <w:r>
        <w:rPr>
          <w:lang w:val="es-MX"/>
        </w:rPr>
        <w:t>7</w:t>
      </w:r>
      <w:r w:rsidR="00BC10ED" w:rsidRPr="00BC10ED">
        <w:rPr>
          <w:lang w:val="es-MX"/>
        </w:rPr>
        <w:t xml:space="preserve">. ¿Si tuvieras la oportunidad de escribir una carta a un niño o niña reclutada qué le dirías? Escríbela. </w:t>
      </w:r>
    </w:p>
    <w:p w14:paraId="7D8C6133" w14:textId="03A48671" w:rsidR="00BC10ED" w:rsidRDefault="00D400DD" w:rsidP="00BC10ED">
      <w:pPr>
        <w:rPr>
          <w:lang w:val="es-MX"/>
        </w:rPr>
      </w:pPr>
      <w:r>
        <w:rPr>
          <w:lang w:val="es-MX"/>
        </w:rPr>
        <w:t>8</w:t>
      </w:r>
      <w:r w:rsidR="00BC10ED" w:rsidRPr="00BC10ED">
        <w:rPr>
          <w:lang w:val="es-MX"/>
        </w:rPr>
        <w:t>. ¿Cuál sería una posible solución o propuesta para que el reclutamiento de menores no se vuelva a repetir en el país?</w:t>
      </w:r>
    </w:p>
    <w:p w14:paraId="0D79D2F9" w14:textId="77777777" w:rsidR="00BC10ED" w:rsidRPr="00BC10ED" w:rsidRDefault="00BC10ED" w:rsidP="00BC10ED">
      <w:pPr>
        <w:rPr>
          <w:lang w:val="es-MX"/>
        </w:rPr>
      </w:pPr>
    </w:p>
    <w:p w14:paraId="159F4E3C" w14:textId="128B444E" w:rsidR="00BC10ED" w:rsidRDefault="00BC10ED" w:rsidP="00BC10ED">
      <w:pPr>
        <w:rPr>
          <w:lang w:val="es-MX"/>
        </w:rPr>
      </w:pPr>
      <w:r w:rsidRPr="00BC10ED">
        <w:rPr>
          <w:b/>
          <w:bCs/>
          <w:lang w:val="es-MX"/>
        </w:rPr>
        <w:t xml:space="preserve">NOTA: </w:t>
      </w:r>
      <w:r w:rsidRPr="00BC10ED">
        <w:rPr>
          <w:lang w:val="es-MX"/>
        </w:rPr>
        <w:t>El ejercicio debe realizarlo a mano, en hojas de block. Debe ser sustentado cuando lo entregue.</w:t>
      </w:r>
      <w:r w:rsidR="00A42865">
        <w:rPr>
          <w:lang w:val="es-MX"/>
        </w:rPr>
        <w:t xml:space="preserve"> Se tendrá en cuenta en la valoración la calidad en el trabajo, que esté completa su elaboración y con buena ortografía. </w:t>
      </w:r>
    </w:p>
    <w:p w14:paraId="456C0E50" w14:textId="77777777" w:rsidR="00D400DD" w:rsidRDefault="00D400DD" w:rsidP="00BC10ED">
      <w:pPr>
        <w:rPr>
          <w:lang w:val="es-MX"/>
        </w:rPr>
      </w:pPr>
    </w:p>
    <w:p w14:paraId="5CAD7105" w14:textId="564386CD" w:rsidR="00D400DD" w:rsidRPr="00BC10ED" w:rsidRDefault="00D400DD" w:rsidP="00BC10ED">
      <w:pPr>
        <w:rPr>
          <w:lang w:val="es-MX"/>
        </w:rPr>
      </w:pPr>
      <w:r>
        <w:rPr>
          <w:lang w:val="es-MX"/>
        </w:rPr>
        <w:t xml:space="preserve">Fecha de entrega: </w:t>
      </w:r>
      <w:r w:rsidR="00A42865">
        <w:rPr>
          <w:lang w:val="es-MX"/>
        </w:rPr>
        <w:t>mes de junio o julio</w:t>
      </w:r>
      <w:r>
        <w:rPr>
          <w:lang w:val="es-MX"/>
        </w:rPr>
        <w:t>.</w:t>
      </w:r>
      <w:r w:rsidR="00A42865">
        <w:rPr>
          <w:lang w:val="es-MX"/>
        </w:rPr>
        <w:t xml:space="preserve"> Los días lunes después de la jornada escolar. Si requiere asesoría no dude en contactarme. </w:t>
      </w:r>
      <w:r>
        <w:rPr>
          <w:lang w:val="es-MX"/>
        </w:rPr>
        <w:t xml:space="preserve"> </w:t>
      </w:r>
    </w:p>
    <w:p w14:paraId="1B891AFB" w14:textId="77777777" w:rsidR="00BC10ED" w:rsidRPr="00BC10ED" w:rsidRDefault="00BC10ED" w:rsidP="00BC10ED">
      <w:pPr>
        <w:rPr>
          <w:sz w:val="20"/>
          <w:szCs w:val="20"/>
          <w:lang w:val="es-MX"/>
        </w:rPr>
      </w:pPr>
    </w:p>
    <w:p w14:paraId="2A665BB1" w14:textId="1C89E4F1" w:rsidR="007A5EC4" w:rsidRDefault="007A5EC4" w:rsidP="007A7802">
      <w:pPr>
        <w:ind w:left="-709"/>
        <w:rPr>
          <w:rFonts w:ascii="Arial" w:hAnsi="Arial" w:cs="Arial"/>
          <w:b/>
        </w:rPr>
      </w:pPr>
    </w:p>
    <w:p w14:paraId="5409E276" w14:textId="16211539" w:rsidR="00833968" w:rsidRDefault="00833968" w:rsidP="007A7802">
      <w:pPr>
        <w:ind w:left="-709"/>
        <w:rPr>
          <w:rFonts w:ascii="Arial" w:hAnsi="Arial" w:cs="Arial"/>
          <w:b/>
        </w:rPr>
      </w:pPr>
    </w:p>
    <w:p w14:paraId="623714FE" w14:textId="762D5213" w:rsidR="00833968" w:rsidRDefault="00833968" w:rsidP="007A7802">
      <w:pPr>
        <w:ind w:left="-709"/>
        <w:rPr>
          <w:rFonts w:ascii="Arial" w:hAnsi="Arial" w:cs="Arial"/>
          <w:b/>
        </w:rPr>
      </w:pPr>
    </w:p>
    <w:p w14:paraId="43B2A221" w14:textId="3702B650" w:rsidR="00833968" w:rsidRDefault="00833968" w:rsidP="007A7802">
      <w:pPr>
        <w:ind w:left="-709"/>
        <w:rPr>
          <w:rFonts w:ascii="Arial" w:hAnsi="Arial" w:cs="Arial"/>
          <w:b/>
        </w:rPr>
      </w:pPr>
    </w:p>
    <w:p w14:paraId="7E18EB3B" w14:textId="1D054446" w:rsidR="00833968" w:rsidRDefault="00833968" w:rsidP="007A7802">
      <w:pPr>
        <w:ind w:left="-709"/>
        <w:rPr>
          <w:rFonts w:ascii="Arial" w:hAnsi="Arial" w:cs="Arial"/>
          <w:b/>
        </w:rPr>
      </w:pPr>
    </w:p>
    <w:p w14:paraId="6E19056C" w14:textId="50F1F1D3" w:rsidR="00833968" w:rsidRDefault="00833968" w:rsidP="007A7802">
      <w:pPr>
        <w:ind w:left="-709"/>
        <w:rPr>
          <w:rFonts w:ascii="Arial" w:hAnsi="Arial" w:cs="Arial"/>
          <w:b/>
        </w:rPr>
      </w:pPr>
    </w:p>
    <w:p w14:paraId="6CD71393" w14:textId="1216EC23" w:rsidR="00833968" w:rsidRDefault="00833968" w:rsidP="007A7802">
      <w:pPr>
        <w:ind w:left="-709"/>
        <w:rPr>
          <w:rFonts w:ascii="Arial" w:hAnsi="Arial" w:cs="Arial"/>
          <w:b/>
        </w:rPr>
      </w:pPr>
    </w:p>
    <w:p w14:paraId="146DA667" w14:textId="4D956CEC" w:rsidR="00833968" w:rsidRDefault="00833968" w:rsidP="007A7802">
      <w:pPr>
        <w:ind w:left="-709"/>
        <w:rPr>
          <w:rFonts w:ascii="Arial" w:hAnsi="Arial" w:cs="Arial"/>
          <w:b/>
        </w:rPr>
      </w:pPr>
    </w:p>
    <w:p w14:paraId="788079B7" w14:textId="73CA5577" w:rsidR="00833968" w:rsidRDefault="00833968" w:rsidP="007A7802">
      <w:pPr>
        <w:ind w:left="-709"/>
        <w:rPr>
          <w:rFonts w:ascii="Arial" w:hAnsi="Arial" w:cs="Arial"/>
          <w:b/>
        </w:rPr>
      </w:pPr>
    </w:p>
    <w:p w14:paraId="343DBD54" w14:textId="3F95062C" w:rsidR="00833968" w:rsidRDefault="00833968" w:rsidP="007A7802">
      <w:pPr>
        <w:ind w:left="-709"/>
        <w:rPr>
          <w:rFonts w:ascii="Arial" w:hAnsi="Arial" w:cs="Arial"/>
          <w:b/>
        </w:rPr>
      </w:pPr>
    </w:p>
    <w:p w14:paraId="531AAAD6" w14:textId="4118C050" w:rsidR="00833968" w:rsidRDefault="00833968" w:rsidP="007A7802">
      <w:pPr>
        <w:ind w:left="-709"/>
        <w:rPr>
          <w:rFonts w:ascii="Arial" w:hAnsi="Arial" w:cs="Arial"/>
          <w:b/>
        </w:rPr>
      </w:pPr>
    </w:p>
    <w:p w14:paraId="6D969E78" w14:textId="464A4087" w:rsidR="00833968" w:rsidRDefault="00833968" w:rsidP="007A7802">
      <w:pPr>
        <w:ind w:left="-709"/>
        <w:rPr>
          <w:rFonts w:ascii="Arial" w:hAnsi="Arial" w:cs="Arial"/>
          <w:b/>
        </w:rPr>
      </w:pPr>
    </w:p>
    <w:p w14:paraId="299A5A47" w14:textId="21862A77" w:rsidR="00833968" w:rsidRDefault="00833968" w:rsidP="007A7802">
      <w:pPr>
        <w:ind w:left="-709"/>
        <w:rPr>
          <w:rFonts w:ascii="Arial" w:hAnsi="Arial" w:cs="Arial"/>
          <w:b/>
        </w:rPr>
      </w:pPr>
    </w:p>
    <w:p w14:paraId="3317D473" w14:textId="343E029D" w:rsidR="00833968" w:rsidRDefault="00833968" w:rsidP="007A7802">
      <w:pPr>
        <w:ind w:left="-709"/>
        <w:rPr>
          <w:rFonts w:ascii="Arial" w:hAnsi="Arial" w:cs="Arial"/>
          <w:b/>
        </w:rPr>
      </w:pPr>
    </w:p>
    <w:p w14:paraId="49F71BC6" w14:textId="27F1537F" w:rsidR="00833968" w:rsidRDefault="00833968" w:rsidP="007A7802">
      <w:pPr>
        <w:ind w:left="-709"/>
        <w:rPr>
          <w:rFonts w:ascii="Arial" w:hAnsi="Arial" w:cs="Arial"/>
          <w:b/>
        </w:rPr>
      </w:pPr>
    </w:p>
    <w:p w14:paraId="701CFD6F" w14:textId="23338469" w:rsidR="00833968" w:rsidRDefault="00833968" w:rsidP="007A7802">
      <w:pPr>
        <w:ind w:left="-709"/>
        <w:rPr>
          <w:rFonts w:ascii="Arial" w:hAnsi="Arial" w:cs="Arial"/>
          <w:b/>
        </w:rPr>
      </w:pPr>
    </w:p>
    <w:p w14:paraId="0A6B7801" w14:textId="57E77941" w:rsidR="00833968" w:rsidRDefault="00833968" w:rsidP="007A7802">
      <w:pPr>
        <w:ind w:left="-709"/>
        <w:rPr>
          <w:rFonts w:ascii="Arial" w:hAnsi="Arial" w:cs="Arial"/>
          <w:b/>
        </w:rPr>
      </w:pPr>
    </w:p>
    <w:p w14:paraId="6623A9F9" w14:textId="013C9CDD" w:rsidR="00833968" w:rsidRDefault="00833968" w:rsidP="007A7802">
      <w:pPr>
        <w:ind w:left="-709"/>
        <w:rPr>
          <w:rFonts w:ascii="Arial" w:hAnsi="Arial" w:cs="Arial"/>
          <w:b/>
        </w:rPr>
      </w:pPr>
    </w:p>
    <w:p w14:paraId="6563E718" w14:textId="77777777" w:rsidR="00833968" w:rsidRDefault="00833968" w:rsidP="00833968">
      <w:pPr>
        <w:spacing w:before="1"/>
        <w:ind w:left="-142" w:right="113"/>
        <w:jc w:val="both"/>
      </w:pPr>
      <w:bookmarkStart w:id="0" w:name="_Hlk108501691"/>
    </w:p>
    <w:p w14:paraId="44D48B57" w14:textId="77777777" w:rsidR="00833968" w:rsidRDefault="00833968" w:rsidP="00833968">
      <w:pPr>
        <w:spacing w:line="276" w:lineRule="auto"/>
      </w:pPr>
    </w:p>
    <w:p w14:paraId="44CE2F59" w14:textId="77777777" w:rsidR="00833968" w:rsidRDefault="00833968" w:rsidP="00833968">
      <w:pPr>
        <w:spacing w:before="1"/>
        <w:ind w:left="-142" w:right="113"/>
        <w:jc w:val="both"/>
      </w:pPr>
    </w:p>
    <w:bookmarkEnd w:id="0"/>
    <w:p w14:paraId="434CF11D" w14:textId="77777777" w:rsidR="00833968" w:rsidRPr="007A5EC4" w:rsidRDefault="00833968" w:rsidP="007A7802">
      <w:pPr>
        <w:ind w:left="-709"/>
        <w:rPr>
          <w:rFonts w:ascii="Arial" w:hAnsi="Arial" w:cs="Arial"/>
          <w:b/>
        </w:rPr>
      </w:pPr>
    </w:p>
    <w:sectPr w:rsidR="00833968" w:rsidRPr="007A5EC4" w:rsidSect="002237E3">
      <w:headerReference w:type="default" r:id="rId7"/>
      <w:headerReference w:type="first" r:id="rId8"/>
      <w:footerReference w:type="first" r:id="rId9"/>
      <w:pgSz w:w="12242" w:h="15842" w:code="1"/>
      <w:pgMar w:top="1418" w:right="1418" w:bottom="1985"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DFF09" w14:textId="77777777" w:rsidR="003C3650" w:rsidRDefault="003C3650" w:rsidP="002676E7">
      <w:r>
        <w:separator/>
      </w:r>
    </w:p>
  </w:endnote>
  <w:endnote w:type="continuationSeparator" w:id="0">
    <w:p w14:paraId="1769E709" w14:textId="77777777" w:rsidR="003C3650" w:rsidRDefault="003C3650" w:rsidP="00267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654A1" w14:textId="77777777" w:rsidR="00AA2067" w:rsidRPr="008B78FD" w:rsidRDefault="00E7266C" w:rsidP="008B78FD">
    <w:pPr>
      <w:pStyle w:val="Piedepgina"/>
    </w:pPr>
    <w:r>
      <w:rPr>
        <w:noProof/>
        <w:lang w:eastAsia="es-CO"/>
      </w:rPr>
      <w:drawing>
        <wp:anchor distT="0" distB="0" distL="114300" distR="114300" simplePos="0" relativeHeight="251661312" behindDoc="0" locked="0" layoutInCell="1" allowOverlap="1" wp14:anchorId="454CC23F" wp14:editId="2CC4C361">
          <wp:simplePos x="0" y="0"/>
          <wp:positionH relativeFrom="column">
            <wp:posOffset>4947920</wp:posOffset>
          </wp:positionH>
          <wp:positionV relativeFrom="paragraph">
            <wp:posOffset>-412115</wp:posOffset>
          </wp:positionV>
          <wp:extent cx="1543050" cy="885190"/>
          <wp:effectExtent l="1905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srcRect/>
                  <a:stretch>
                    <a:fillRect/>
                  </a:stretch>
                </pic:blipFill>
                <pic:spPr bwMode="auto">
                  <a:xfrm>
                    <a:off x="0" y="0"/>
                    <a:ext cx="1543050" cy="88519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6B1F5" w14:textId="77777777" w:rsidR="003C3650" w:rsidRDefault="003C3650" w:rsidP="002676E7">
      <w:r>
        <w:separator/>
      </w:r>
    </w:p>
  </w:footnote>
  <w:footnote w:type="continuationSeparator" w:id="0">
    <w:p w14:paraId="4128C5DF" w14:textId="77777777" w:rsidR="003C3650" w:rsidRDefault="003C3650" w:rsidP="00267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742" w:type="pct"/>
      <w:jc w:val="center"/>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4A0" w:firstRow="1" w:lastRow="0" w:firstColumn="1" w:lastColumn="0" w:noHBand="0" w:noVBand="1"/>
    </w:tblPr>
    <w:tblGrid>
      <w:gridCol w:w="1980"/>
      <w:gridCol w:w="7357"/>
      <w:gridCol w:w="1412"/>
    </w:tblGrid>
    <w:tr w:rsidR="002237E3" w:rsidRPr="00570F40" w14:paraId="3B4E492D" w14:textId="77777777" w:rsidTr="002237E3">
      <w:trPr>
        <w:trHeight w:val="1013"/>
        <w:jc w:val="center"/>
      </w:trPr>
      <w:tc>
        <w:tcPr>
          <w:tcW w:w="921" w:type="pct"/>
          <w:tcBorders>
            <w:top w:val="threeDEmboss" w:sz="6" w:space="0" w:color="auto"/>
            <w:left w:val="threeDEmboss" w:sz="6" w:space="0" w:color="auto"/>
            <w:bottom w:val="threeDEmboss" w:sz="6" w:space="0" w:color="auto"/>
            <w:right w:val="threeDEmboss" w:sz="6" w:space="0" w:color="auto"/>
          </w:tcBorders>
        </w:tcPr>
        <w:p w14:paraId="61EA239E" w14:textId="7F1E7596" w:rsidR="002237E3" w:rsidRPr="00BC3B99" w:rsidRDefault="00033E78" w:rsidP="002237E3">
          <w:pPr>
            <w:rPr>
              <w:rFonts w:cs="Arial"/>
              <w:sz w:val="6"/>
              <w:szCs w:val="6"/>
              <w:highlight w:val="yellow"/>
              <w:lang w:val="es-ES"/>
            </w:rPr>
          </w:pPr>
          <w:r>
            <w:rPr>
              <w:rFonts w:cs="Arial"/>
              <w:noProof/>
              <w:sz w:val="6"/>
              <w:szCs w:val="6"/>
              <w:lang w:val="es-ES"/>
            </w:rPr>
            <w:drawing>
              <wp:inline distT="0" distB="0" distL="0" distR="0" wp14:anchorId="4E91E6B7" wp14:editId="18D1AEF9">
                <wp:extent cx="1120140" cy="720090"/>
                <wp:effectExtent l="0" t="0" r="3810" b="3810"/>
                <wp:docPr id="944581089"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581089" name="Imagen 1" descr="Diagra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20140" cy="720090"/>
                        </a:xfrm>
                        <a:prstGeom prst="rect">
                          <a:avLst/>
                        </a:prstGeom>
                      </pic:spPr>
                    </pic:pic>
                  </a:graphicData>
                </a:graphic>
              </wp:inline>
            </w:drawing>
          </w:r>
        </w:p>
      </w:tc>
      <w:tc>
        <w:tcPr>
          <w:tcW w:w="3422" w:type="pct"/>
          <w:tcBorders>
            <w:top w:val="threeDEmboss" w:sz="6" w:space="0" w:color="auto"/>
            <w:left w:val="threeDEmboss" w:sz="6" w:space="0" w:color="auto"/>
            <w:bottom w:val="threeDEmboss" w:sz="6" w:space="0" w:color="auto"/>
            <w:right w:val="threeDEmboss" w:sz="6" w:space="0" w:color="auto"/>
          </w:tcBorders>
          <w:vAlign w:val="center"/>
          <w:hideMark/>
        </w:tcPr>
        <w:p w14:paraId="6E654C06" w14:textId="77777777" w:rsidR="002237E3" w:rsidRPr="00570F40" w:rsidRDefault="002237E3" w:rsidP="002237E3">
          <w:pPr>
            <w:keepNext/>
            <w:jc w:val="center"/>
            <w:outlineLvl w:val="0"/>
            <w:rPr>
              <w:rFonts w:ascii="Arial" w:eastAsia="Arial Unicode MS" w:hAnsi="Arial" w:cs="Arial"/>
              <w:b/>
              <w:bCs/>
              <w:sz w:val="28"/>
              <w:szCs w:val="28"/>
            </w:rPr>
          </w:pPr>
          <w:r w:rsidRPr="00570F40">
            <w:rPr>
              <w:rFonts w:ascii="Arial" w:eastAsia="Arial Unicode MS" w:hAnsi="Arial" w:cs="Arial"/>
              <w:b/>
              <w:bCs/>
              <w:szCs w:val="28"/>
            </w:rPr>
            <w:t xml:space="preserve">INSTITUCIÓN EDUCATIVA </w:t>
          </w:r>
        </w:p>
        <w:p w14:paraId="3F226409" w14:textId="77777777" w:rsidR="002237E3" w:rsidRPr="00570F40" w:rsidRDefault="002237E3" w:rsidP="002237E3">
          <w:pPr>
            <w:keepNext/>
            <w:jc w:val="center"/>
            <w:outlineLvl w:val="0"/>
            <w:rPr>
              <w:rFonts w:ascii="Arial" w:eastAsia="Arial Unicode MS" w:hAnsi="Arial" w:cs="Arial"/>
              <w:b/>
              <w:bCs/>
              <w:sz w:val="28"/>
              <w:szCs w:val="28"/>
            </w:rPr>
          </w:pPr>
          <w:r w:rsidRPr="00570F40">
            <w:rPr>
              <w:rFonts w:ascii="Arial" w:eastAsia="Arial Unicode MS" w:hAnsi="Arial" w:cs="Arial"/>
              <w:b/>
              <w:bCs/>
              <w:sz w:val="28"/>
              <w:szCs w:val="28"/>
            </w:rPr>
            <w:t xml:space="preserve">  ANTONIO JOSÉ DE SUCRE</w:t>
          </w:r>
        </w:p>
        <w:p w14:paraId="25648FCD" w14:textId="77777777" w:rsidR="002237E3" w:rsidRPr="00570F40" w:rsidRDefault="002237E3" w:rsidP="002237E3">
          <w:pPr>
            <w:jc w:val="center"/>
            <w:rPr>
              <w:rFonts w:ascii="Arial" w:hAnsi="Arial" w:cs="Arial"/>
              <w:i/>
              <w:szCs w:val="28"/>
            </w:rPr>
          </w:pPr>
          <w:r w:rsidRPr="00570F40">
            <w:rPr>
              <w:rFonts w:ascii="Arial" w:hAnsi="Arial" w:cs="Arial"/>
              <w:i/>
              <w:szCs w:val="28"/>
            </w:rPr>
            <w:t>“Formando ciudadanos competentes con responsabilidad social”</w:t>
          </w:r>
        </w:p>
      </w:tc>
      <w:tc>
        <w:tcPr>
          <w:tcW w:w="657" w:type="pct"/>
          <w:tcBorders>
            <w:top w:val="threeDEmboss" w:sz="6" w:space="0" w:color="auto"/>
            <w:left w:val="threeDEmboss" w:sz="6" w:space="0" w:color="auto"/>
            <w:bottom w:val="threeDEmboss" w:sz="6" w:space="0" w:color="auto"/>
            <w:right w:val="threeDEmboss" w:sz="6" w:space="0" w:color="auto"/>
          </w:tcBorders>
        </w:tcPr>
        <w:p w14:paraId="1DED7FD8" w14:textId="77777777" w:rsidR="002237E3" w:rsidRPr="001A2ADB" w:rsidRDefault="002237E3" w:rsidP="002237E3">
          <w:pPr>
            <w:jc w:val="center"/>
            <w:rPr>
              <w:rFonts w:cs="Arial"/>
              <w:sz w:val="20"/>
              <w:lang w:val="es-ES"/>
            </w:rPr>
          </w:pPr>
          <w:r>
            <w:rPr>
              <w:noProof/>
              <w:lang w:eastAsia="es-CO"/>
            </w:rPr>
            <w:drawing>
              <wp:anchor distT="0" distB="0" distL="114300" distR="114300" simplePos="0" relativeHeight="251667456" behindDoc="0" locked="0" layoutInCell="1" allowOverlap="1" wp14:anchorId="2BD5AF31" wp14:editId="46AE48FE">
                <wp:simplePos x="0" y="0"/>
                <wp:positionH relativeFrom="column">
                  <wp:posOffset>69215</wp:posOffset>
                </wp:positionH>
                <wp:positionV relativeFrom="paragraph">
                  <wp:posOffset>54610</wp:posOffset>
                </wp:positionV>
                <wp:extent cx="590550" cy="62103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6210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237E3" w:rsidRPr="00836990" w14:paraId="475E0BE6" w14:textId="77777777" w:rsidTr="002237E3">
      <w:trPr>
        <w:trHeight w:val="527"/>
        <w:jc w:val="center"/>
      </w:trPr>
      <w:tc>
        <w:tcPr>
          <w:tcW w:w="921" w:type="pct"/>
          <w:tcBorders>
            <w:top w:val="threeDEmboss" w:sz="6" w:space="0" w:color="auto"/>
            <w:left w:val="threeDEmboss" w:sz="6" w:space="0" w:color="auto"/>
            <w:bottom w:val="threeDEmboss" w:sz="6" w:space="0" w:color="auto"/>
            <w:right w:val="threeDEmboss" w:sz="6" w:space="0" w:color="auto"/>
          </w:tcBorders>
          <w:vAlign w:val="center"/>
        </w:tcPr>
        <w:p w14:paraId="455A16AB" w14:textId="32A9DF92" w:rsidR="002237E3" w:rsidRPr="00A446E8" w:rsidRDefault="002237E3" w:rsidP="006775E2">
          <w:pPr>
            <w:keepNext/>
            <w:jc w:val="center"/>
            <w:outlineLvl w:val="0"/>
            <w:rPr>
              <w:rFonts w:ascii="Arial" w:eastAsia="Arial Unicode MS" w:hAnsi="Arial" w:cs="Arial"/>
              <w:bCs/>
              <w:color w:val="A6A6A6"/>
              <w:sz w:val="18"/>
              <w:szCs w:val="18"/>
              <w:lang w:val="es-ES"/>
            </w:rPr>
          </w:pPr>
          <w:r w:rsidRPr="00A446E8">
            <w:rPr>
              <w:rFonts w:ascii="Arial" w:eastAsia="Arial Unicode MS" w:hAnsi="Arial" w:cs="Arial"/>
              <w:bCs/>
              <w:color w:val="A6A6A6"/>
              <w:sz w:val="18"/>
              <w:szCs w:val="18"/>
              <w:lang w:val="es-ES"/>
            </w:rPr>
            <w:t>CÓDIGO</w:t>
          </w:r>
          <w:r w:rsidR="008B2769">
            <w:rPr>
              <w:rFonts w:ascii="Arial" w:eastAsia="Arial Unicode MS" w:hAnsi="Arial" w:cs="Arial"/>
              <w:bCs/>
              <w:color w:val="A6A6A6"/>
              <w:sz w:val="18"/>
              <w:szCs w:val="18"/>
              <w:lang w:val="es-ES"/>
            </w:rPr>
            <w:t>: FP-FO-49</w:t>
          </w:r>
        </w:p>
      </w:tc>
      <w:tc>
        <w:tcPr>
          <w:tcW w:w="3422" w:type="pct"/>
          <w:tcBorders>
            <w:top w:val="threeDEmboss" w:sz="6" w:space="0" w:color="auto"/>
            <w:left w:val="threeDEmboss" w:sz="6" w:space="0" w:color="auto"/>
            <w:bottom w:val="threeDEmboss" w:sz="6" w:space="0" w:color="auto"/>
            <w:right w:val="threeDEmboss" w:sz="6" w:space="0" w:color="auto"/>
          </w:tcBorders>
          <w:vAlign w:val="center"/>
        </w:tcPr>
        <w:p w14:paraId="2C24775D" w14:textId="77777777" w:rsidR="002237E3" w:rsidRPr="00A446E8" w:rsidRDefault="006775E2" w:rsidP="002237E3">
          <w:pPr>
            <w:jc w:val="center"/>
            <w:rPr>
              <w:rFonts w:ascii="Arial" w:hAnsi="Arial" w:cs="Arial"/>
              <w:b/>
              <w:color w:val="A6A6A6"/>
              <w:sz w:val="20"/>
              <w:szCs w:val="20"/>
              <w:lang w:eastAsia="es-MX"/>
            </w:rPr>
          </w:pPr>
          <w:r>
            <w:rPr>
              <w:rFonts w:ascii="Arial" w:hAnsi="Arial" w:cs="Arial"/>
              <w:b/>
              <w:color w:val="A6A6A6"/>
              <w:sz w:val="20"/>
              <w:szCs w:val="20"/>
              <w:lang w:eastAsia="es-MX"/>
            </w:rPr>
            <w:t xml:space="preserve">PLAN DE APOYO </w:t>
          </w:r>
        </w:p>
      </w:tc>
      <w:tc>
        <w:tcPr>
          <w:tcW w:w="657" w:type="pct"/>
          <w:tcBorders>
            <w:top w:val="threeDEmboss" w:sz="6" w:space="0" w:color="auto"/>
            <w:left w:val="threeDEmboss" w:sz="6" w:space="0" w:color="auto"/>
            <w:bottom w:val="threeDEmboss" w:sz="6" w:space="0" w:color="auto"/>
            <w:right w:val="threeDEmboss" w:sz="6" w:space="0" w:color="auto"/>
          </w:tcBorders>
          <w:vAlign w:val="center"/>
        </w:tcPr>
        <w:p w14:paraId="0E03EB14" w14:textId="6BACC6D4" w:rsidR="002237E3" w:rsidRPr="00A446E8" w:rsidRDefault="002237E3" w:rsidP="006775E2">
          <w:pPr>
            <w:jc w:val="center"/>
            <w:rPr>
              <w:rFonts w:ascii="Arial" w:hAnsi="Arial" w:cs="Arial"/>
              <w:color w:val="A6A6A6"/>
              <w:sz w:val="18"/>
              <w:szCs w:val="18"/>
            </w:rPr>
          </w:pPr>
          <w:r w:rsidRPr="00A446E8">
            <w:rPr>
              <w:rFonts w:ascii="Arial" w:hAnsi="Arial" w:cs="Arial"/>
              <w:color w:val="A6A6A6"/>
              <w:sz w:val="18"/>
              <w:szCs w:val="18"/>
            </w:rPr>
            <w:t xml:space="preserve">VERSIÓN: </w:t>
          </w:r>
          <w:r w:rsidR="00033E78">
            <w:rPr>
              <w:rFonts w:ascii="Arial" w:hAnsi="Arial" w:cs="Arial"/>
              <w:color w:val="A6A6A6"/>
              <w:sz w:val="18"/>
              <w:szCs w:val="18"/>
            </w:rPr>
            <w:t>2</w:t>
          </w:r>
        </w:p>
      </w:tc>
    </w:tr>
  </w:tbl>
  <w:p w14:paraId="7DFB41C7" w14:textId="77777777" w:rsidR="00AA2067" w:rsidRDefault="00AA206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779" w:type="pct"/>
      <w:tblInd w:w="-743"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2586"/>
      <w:gridCol w:w="6356"/>
      <w:gridCol w:w="1876"/>
    </w:tblGrid>
    <w:tr w:rsidR="00C52600" w:rsidRPr="001A2ADB" w14:paraId="4F5C4185" w14:textId="77777777" w:rsidTr="00C52600">
      <w:trPr>
        <w:trHeight w:val="1363"/>
      </w:trPr>
      <w:tc>
        <w:tcPr>
          <w:tcW w:w="1195" w:type="pct"/>
          <w:tcBorders>
            <w:top w:val="threeDEmboss" w:sz="6" w:space="0" w:color="auto"/>
            <w:left w:val="threeDEmboss" w:sz="6" w:space="0" w:color="auto"/>
            <w:bottom w:val="threeDEmboss" w:sz="6" w:space="0" w:color="auto"/>
            <w:right w:val="threeDEmboss" w:sz="6" w:space="0" w:color="auto"/>
          </w:tcBorders>
        </w:tcPr>
        <w:p w14:paraId="3F399492" w14:textId="77777777" w:rsidR="00C52600" w:rsidRPr="007134CC" w:rsidRDefault="00C52600" w:rsidP="00C52600">
          <w:pPr>
            <w:rPr>
              <w:rFonts w:cs="Arial"/>
              <w:highlight w:val="yellow"/>
              <w:lang w:val="es-ES"/>
            </w:rPr>
          </w:pPr>
          <w:r>
            <w:rPr>
              <w:noProof/>
              <w:lang w:eastAsia="es-CO"/>
            </w:rPr>
            <w:drawing>
              <wp:inline distT="0" distB="0" distL="0" distR="0" wp14:anchorId="2DCEE3DB" wp14:editId="75081A9A">
                <wp:extent cx="1476375" cy="1123950"/>
                <wp:effectExtent l="19050" t="0" r="9525"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srcRect r="4980" b="2957"/>
                        <a:stretch>
                          <a:fillRect/>
                        </a:stretch>
                      </pic:blipFill>
                      <pic:spPr bwMode="auto">
                        <a:xfrm>
                          <a:off x="0" y="0"/>
                          <a:ext cx="1476375" cy="1123950"/>
                        </a:xfrm>
                        <a:prstGeom prst="rect">
                          <a:avLst/>
                        </a:prstGeom>
                        <a:noFill/>
                        <a:ln w="9525">
                          <a:noFill/>
                          <a:miter lim="800000"/>
                          <a:headEnd/>
                          <a:tailEnd/>
                        </a:ln>
                      </pic:spPr>
                    </pic:pic>
                  </a:graphicData>
                </a:graphic>
              </wp:inline>
            </w:drawing>
          </w:r>
        </w:p>
      </w:tc>
      <w:tc>
        <w:tcPr>
          <w:tcW w:w="2938" w:type="pct"/>
          <w:tcBorders>
            <w:top w:val="threeDEmboss" w:sz="6" w:space="0" w:color="auto"/>
            <w:left w:val="threeDEmboss" w:sz="6" w:space="0" w:color="auto"/>
            <w:bottom w:val="threeDEmboss" w:sz="6" w:space="0" w:color="auto"/>
            <w:right w:val="threeDEmboss" w:sz="6" w:space="0" w:color="auto"/>
          </w:tcBorders>
          <w:vAlign w:val="center"/>
          <w:hideMark/>
        </w:tcPr>
        <w:p w14:paraId="1F057DE8" w14:textId="77777777" w:rsidR="00C52600" w:rsidRDefault="00C52600" w:rsidP="00C52600">
          <w:pPr>
            <w:keepNext/>
            <w:jc w:val="center"/>
            <w:outlineLvl w:val="0"/>
            <w:rPr>
              <w:rFonts w:ascii="Arial" w:eastAsia="Arial Unicode MS" w:hAnsi="Arial" w:cs="Arial"/>
              <w:b/>
              <w:bCs/>
              <w:sz w:val="28"/>
              <w:szCs w:val="28"/>
            </w:rPr>
          </w:pPr>
          <w:r w:rsidRPr="004636F8">
            <w:rPr>
              <w:rFonts w:ascii="Arial" w:eastAsia="Arial Unicode MS" w:hAnsi="Arial" w:cs="Arial"/>
              <w:b/>
              <w:bCs/>
              <w:sz w:val="22"/>
              <w:szCs w:val="28"/>
            </w:rPr>
            <w:t xml:space="preserve">INSTITUCIÓN EDUCATIVA </w:t>
          </w:r>
        </w:p>
        <w:p w14:paraId="30BBF118" w14:textId="77777777" w:rsidR="00C52600" w:rsidRDefault="00C52600" w:rsidP="00C52600">
          <w:pPr>
            <w:keepNext/>
            <w:jc w:val="center"/>
            <w:outlineLvl w:val="0"/>
            <w:rPr>
              <w:rFonts w:ascii="Arial" w:eastAsia="Arial Unicode MS" w:hAnsi="Arial" w:cs="Arial"/>
              <w:b/>
              <w:bCs/>
              <w:sz w:val="28"/>
              <w:szCs w:val="28"/>
            </w:rPr>
          </w:pPr>
          <w:r w:rsidRPr="001A2ADB">
            <w:rPr>
              <w:rFonts w:ascii="Arial" w:eastAsia="Arial Unicode MS" w:hAnsi="Arial" w:cs="Arial"/>
              <w:b/>
              <w:bCs/>
              <w:sz w:val="28"/>
              <w:szCs w:val="28"/>
            </w:rPr>
            <w:t xml:space="preserve">  ANTONIO JOSÉ DE SUCRE</w:t>
          </w:r>
        </w:p>
        <w:p w14:paraId="351CE7F5" w14:textId="77777777" w:rsidR="00C52600" w:rsidRPr="000B37A6" w:rsidRDefault="00C52600" w:rsidP="00C52600">
          <w:pPr>
            <w:keepNext/>
            <w:jc w:val="center"/>
            <w:outlineLvl w:val="0"/>
            <w:rPr>
              <w:rFonts w:ascii="Arial" w:eastAsia="Arial Unicode MS" w:hAnsi="Arial" w:cs="Arial"/>
              <w:b/>
              <w:bCs/>
              <w:sz w:val="10"/>
              <w:szCs w:val="10"/>
            </w:rPr>
          </w:pPr>
        </w:p>
        <w:p w14:paraId="30FB6B5C" w14:textId="77777777" w:rsidR="00C52600" w:rsidRPr="008B78FD" w:rsidRDefault="00C52600" w:rsidP="00C52600">
          <w:pPr>
            <w:jc w:val="center"/>
            <w:rPr>
              <w:rFonts w:ascii="Arial" w:hAnsi="Arial" w:cs="Arial"/>
              <w:i/>
              <w:szCs w:val="28"/>
            </w:rPr>
          </w:pPr>
          <w:r w:rsidRPr="00C52600">
            <w:rPr>
              <w:rFonts w:ascii="Arial" w:hAnsi="Arial" w:cs="Arial"/>
              <w:i/>
              <w:sz w:val="20"/>
              <w:szCs w:val="28"/>
            </w:rPr>
            <w:t>“Formando Ciudadanos Competentes con Responsabilidad Social”</w:t>
          </w:r>
        </w:p>
      </w:tc>
      <w:tc>
        <w:tcPr>
          <w:tcW w:w="867" w:type="pct"/>
          <w:tcBorders>
            <w:top w:val="threeDEmboss" w:sz="6" w:space="0" w:color="auto"/>
            <w:left w:val="threeDEmboss" w:sz="6" w:space="0" w:color="auto"/>
            <w:bottom w:val="threeDEmboss" w:sz="6" w:space="0" w:color="auto"/>
            <w:right w:val="threeDEmboss" w:sz="6" w:space="0" w:color="auto"/>
          </w:tcBorders>
        </w:tcPr>
        <w:p w14:paraId="38527B98" w14:textId="77777777" w:rsidR="00C52600" w:rsidRPr="001A2ADB" w:rsidRDefault="00C52600" w:rsidP="00C52600">
          <w:pPr>
            <w:jc w:val="center"/>
            <w:rPr>
              <w:rFonts w:cs="Arial"/>
              <w:sz w:val="20"/>
              <w:lang w:val="es-ES"/>
            </w:rPr>
          </w:pPr>
          <w:r>
            <w:rPr>
              <w:noProof/>
              <w:lang w:eastAsia="es-CO"/>
            </w:rPr>
            <w:drawing>
              <wp:anchor distT="0" distB="0" distL="114300" distR="114300" simplePos="0" relativeHeight="251665408" behindDoc="0" locked="0" layoutInCell="1" allowOverlap="1" wp14:anchorId="52F1822D" wp14:editId="161BD87C">
                <wp:simplePos x="0" y="0"/>
                <wp:positionH relativeFrom="column">
                  <wp:posOffset>123190</wp:posOffset>
                </wp:positionH>
                <wp:positionV relativeFrom="paragraph">
                  <wp:posOffset>187960</wp:posOffset>
                </wp:positionV>
                <wp:extent cx="752475" cy="791322"/>
                <wp:effectExtent l="0" t="0" r="0" b="8890"/>
                <wp:wrapNone/>
                <wp:docPr id="1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srcRect/>
                        <a:stretch>
                          <a:fillRect/>
                        </a:stretch>
                      </pic:blipFill>
                      <pic:spPr bwMode="auto">
                        <a:xfrm>
                          <a:off x="0" y="0"/>
                          <a:ext cx="752475" cy="79132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C52600" w:rsidRPr="00836990" w14:paraId="7A647E5B" w14:textId="77777777" w:rsidTr="00C52600">
      <w:trPr>
        <w:trHeight w:val="312"/>
      </w:trPr>
      <w:tc>
        <w:tcPr>
          <w:tcW w:w="1195" w:type="pct"/>
          <w:tcBorders>
            <w:top w:val="threeDEmboss" w:sz="6" w:space="0" w:color="auto"/>
            <w:left w:val="threeDEmboss" w:sz="6" w:space="0" w:color="auto"/>
            <w:bottom w:val="threeDEmboss" w:sz="6" w:space="0" w:color="auto"/>
            <w:right w:val="threeDEmboss" w:sz="6" w:space="0" w:color="auto"/>
          </w:tcBorders>
          <w:vAlign w:val="center"/>
          <w:hideMark/>
        </w:tcPr>
        <w:p w14:paraId="214A7A36" w14:textId="77777777" w:rsidR="00C52600" w:rsidRPr="0031213C" w:rsidRDefault="00C52600" w:rsidP="00C52600">
          <w:pPr>
            <w:keepNext/>
            <w:jc w:val="center"/>
            <w:outlineLvl w:val="0"/>
            <w:rPr>
              <w:rFonts w:ascii="Arial" w:eastAsia="Arial Unicode MS" w:hAnsi="Arial" w:cs="Arial"/>
              <w:bCs/>
              <w:sz w:val="18"/>
              <w:szCs w:val="18"/>
              <w:lang w:val="es-ES"/>
            </w:rPr>
          </w:pPr>
          <w:r w:rsidRPr="0031213C">
            <w:rPr>
              <w:rFonts w:ascii="Arial" w:hAnsi="Arial" w:cs="Arial"/>
              <w:sz w:val="18"/>
              <w:szCs w:val="18"/>
            </w:rPr>
            <w:t xml:space="preserve">CÓDIGO </w:t>
          </w:r>
          <w:r>
            <w:rPr>
              <w:rFonts w:ascii="Arial" w:hAnsi="Arial" w:cs="Arial"/>
              <w:sz w:val="18"/>
              <w:szCs w:val="18"/>
            </w:rPr>
            <w:t>AR</w:t>
          </w:r>
          <w:r w:rsidRPr="0031213C">
            <w:rPr>
              <w:rFonts w:ascii="Arial" w:hAnsi="Arial" w:cs="Arial"/>
              <w:sz w:val="18"/>
              <w:szCs w:val="18"/>
            </w:rPr>
            <w:t>-FO-</w:t>
          </w:r>
          <w:r>
            <w:rPr>
              <w:rFonts w:ascii="Arial" w:hAnsi="Arial" w:cs="Arial"/>
              <w:sz w:val="18"/>
              <w:szCs w:val="18"/>
            </w:rPr>
            <w:t>20</w:t>
          </w:r>
        </w:p>
      </w:tc>
      <w:tc>
        <w:tcPr>
          <w:tcW w:w="2938" w:type="pct"/>
          <w:tcBorders>
            <w:top w:val="threeDEmboss" w:sz="6" w:space="0" w:color="auto"/>
            <w:left w:val="threeDEmboss" w:sz="6" w:space="0" w:color="auto"/>
            <w:bottom w:val="threeDEmboss" w:sz="6" w:space="0" w:color="auto"/>
            <w:right w:val="threeDEmboss" w:sz="6" w:space="0" w:color="auto"/>
          </w:tcBorders>
          <w:vAlign w:val="center"/>
        </w:tcPr>
        <w:p w14:paraId="413F3CDD" w14:textId="77777777" w:rsidR="00C52600" w:rsidRPr="00AE3123" w:rsidRDefault="00C52600" w:rsidP="00C52600">
          <w:pPr>
            <w:jc w:val="center"/>
            <w:rPr>
              <w:rFonts w:ascii="Arial" w:hAnsi="Arial" w:cs="Arial"/>
              <w:b/>
              <w:lang w:eastAsia="es-MX"/>
            </w:rPr>
          </w:pPr>
          <w:r>
            <w:rPr>
              <w:rFonts w:ascii="Arial" w:hAnsi="Arial" w:cs="Arial"/>
              <w:b/>
              <w:lang w:eastAsia="es-MX"/>
            </w:rPr>
            <w:t>ACTA GENERAL DE REUNIONES</w:t>
          </w:r>
        </w:p>
      </w:tc>
      <w:tc>
        <w:tcPr>
          <w:tcW w:w="867" w:type="pct"/>
          <w:tcBorders>
            <w:top w:val="threeDEmboss" w:sz="6" w:space="0" w:color="auto"/>
            <w:left w:val="threeDEmboss" w:sz="6" w:space="0" w:color="auto"/>
            <w:bottom w:val="threeDEmboss" w:sz="6" w:space="0" w:color="auto"/>
            <w:right w:val="threeDEmboss" w:sz="6" w:space="0" w:color="auto"/>
          </w:tcBorders>
          <w:vAlign w:val="center"/>
          <w:hideMark/>
        </w:tcPr>
        <w:p w14:paraId="320EBC8F" w14:textId="77777777" w:rsidR="00C52600" w:rsidRPr="00AE3123" w:rsidRDefault="00C52600" w:rsidP="00C52600">
          <w:pPr>
            <w:jc w:val="center"/>
            <w:rPr>
              <w:rFonts w:ascii="Arial" w:hAnsi="Arial" w:cs="Arial"/>
              <w:sz w:val="18"/>
              <w:szCs w:val="18"/>
            </w:rPr>
          </w:pPr>
          <w:r w:rsidRPr="00AE3123">
            <w:rPr>
              <w:rFonts w:ascii="Arial" w:hAnsi="Arial" w:cs="Arial"/>
              <w:sz w:val="18"/>
              <w:szCs w:val="18"/>
            </w:rPr>
            <w:t>VERSIÓN:</w:t>
          </w:r>
          <w:r>
            <w:rPr>
              <w:rFonts w:ascii="Arial" w:hAnsi="Arial" w:cs="Arial"/>
              <w:sz w:val="18"/>
              <w:szCs w:val="18"/>
            </w:rPr>
            <w:t xml:space="preserve"> 3</w:t>
          </w:r>
        </w:p>
      </w:tc>
    </w:tr>
  </w:tbl>
  <w:p w14:paraId="7C50630A" w14:textId="77777777" w:rsidR="00AA2067" w:rsidRDefault="00AA20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D5827"/>
    <w:multiLevelType w:val="hybridMultilevel"/>
    <w:tmpl w:val="1EA89D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633198B"/>
    <w:multiLevelType w:val="hybridMultilevel"/>
    <w:tmpl w:val="4EC433F2"/>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1350D4"/>
    <w:multiLevelType w:val="hybridMultilevel"/>
    <w:tmpl w:val="42C27F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C9B44AF"/>
    <w:multiLevelType w:val="hybridMultilevel"/>
    <w:tmpl w:val="09E02A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AE2A8D"/>
    <w:multiLevelType w:val="hybridMultilevel"/>
    <w:tmpl w:val="4D3EBC4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7A9F05C5"/>
    <w:multiLevelType w:val="hybridMultilevel"/>
    <w:tmpl w:val="0FAA65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574"/>
    <w:rsid w:val="00002653"/>
    <w:rsid w:val="00015B88"/>
    <w:rsid w:val="00033E78"/>
    <w:rsid w:val="00067241"/>
    <w:rsid w:val="000D7855"/>
    <w:rsid w:val="00114265"/>
    <w:rsid w:val="001768F2"/>
    <w:rsid w:val="001774DB"/>
    <w:rsid w:val="00182523"/>
    <w:rsid w:val="002113BF"/>
    <w:rsid w:val="00213728"/>
    <w:rsid w:val="002237E3"/>
    <w:rsid w:val="002626CB"/>
    <w:rsid w:val="002676E7"/>
    <w:rsid w:val="00283EC1"/>
    <w:rsid w:val="00295011"/>
    <w:rsid w:val="002A72C4"/>
    <w:rsid w:val="002E11AE"/>
    <w:rsid w:val="002F6AC0"/>
    <w:rsid w:val="00310953"/>
    <w:rsid w:val="0034136D"/>
    <w:rsid w:val="00367BAF"/>
    <w:rsid w:val="0038488A"/>
    <w:rsid w:val="003A49EB"/>
    <w:rsid w:val="003C3650"/>
    <w:rsid w:val="003C7AF9"/>
    <w:rsid w:val="004A61C1"/>
    <w:rsid w:val="004C25D3"/>
    <w:rsid w:val="004D0B3A"/>
    <w:rsid w:val="004D3E56"/>
    <w:rsid w:val="004D75E0"/>
    <w:rsid w:val="004E611E"/>
    <w:rsid w:val="004E6574"/>
    <w:rsid w:val="0050007C"/>
    <w:rsid w:val="0053015E"/>
    <w:rsid w:val="005452BD"/>
    <w:rsid w:val="005630C5"/>
    <w:rsid w:val="006055F3"/>
    <w:rsid w:val="006775E2"/>
    <w:rsid w:val="006834EA"/>
    <w:rsid w:val="006B36CF"/>
    <w:rsid w:val="006F2737"/>
    <w:rsid w:val="00752858"/>
    <w:rsid w:val="007639E4"/>
    <w:rsid w:val="0076593E"/>
    <w:rsid w:val="0077379D"/>
    <w:rsid w:val="0078055B"/>
    <w:rsid w:val="00793003"/>
    <w:rsid w:val="007A5EC4"/>
    <w:rsid w:val="007A7802"/>
    <w:rsid w:val="007E3A8F"/>
    <w:rsid w:val="00803C55"/>
    <w:rsid w:val="00833968"/>
    <w:rsid w:val="0083555D"/>
    <w:rsid w:val="00844AC6"/>
    <w:rsid w:val="0087566D"/>
    <w:rsid w:val="0089661E"/>
    <w:rsid w:val="008B2769"/>
    <w:rsid w:val="008B7CD0"/>
    <w:rsid w:val="008C03C5"/>
    <w:rsid w:val="008C260C"/>
    <w:rsid w:val="008F1EC9"/>
    <w:rsid w:val="00900DFF"/>
    <w:rsid w:val="00923E25"/>
    <w:rsid w:val="00936CE5"/>
    <w:rsid w:val="00971B41"/>
    <w:rsid w:val="009E5066"/>
    <w:rsid w:val="00A16568"/>
    <w:rsid w:val="00A42865"/>
    <w:rsid w:val="00A5703D"/>
    <w:rsid w:val="00A6747A"/>
    <w:rsid w:val="00A77CAB"/>
    <w:rsid w:val="00A81616"/>
    <w:rsid w:val="00A81DEE"/>
    <w:rsid w:val="00A8488D"/>
    <w:rsid w:val="00AA2067"/>
    <w:rsid w:val="00AB727B"/>
    <w:rsid w:val="00AE3CF5"/>
    <w:rsid w:val="00AF4225"/>
    <w:rsid w:val="00AF7976"/>
    <w:rsid w:val="00B05B74"/>
    <w:rsid w:val="00B22DB2"/>
    <w:rsid w:val="00BC10ED"/>
    <w:rsid w:val="00BD4261"/>
    <w:rsid w:val="00C23287"/>
    <w:rsid w:val="00C45610"/>
    <w:rsid w:val="00C52600"/>
    <w:rsid w:val="00C814A5"/>
    <w:rsid w:val="00CD6939"/>
    <w:rsid w:val="00CF0133"/>
    <w:rsid w:val="00D058EA"/>
    <w:rsid w:val="00D2387E"/>
    <w:rsid w:val="00D400DD"/>
    <w:rsid w:val="00DB0DC4"/>
    <w:rsid w:val="00DC2B71"/>
    <w:rsid w:val="00DC6146"/>
    <w:rsid w:val="00DD6780"/>
    <w:rsid w:val="00E01A8F"/>
    <w:rsid w:val="00E32DBB"/>
    <w:rsid w:val="00E61417"/>
    <w:rsid w:val="00E64487"/>
    <w:rsid w:val="00E7266C"/>
    <w:rsid w:val="00E95B8F"/>
    <w:rsid w:val="00EA6DDD"/>
    <w:rsid w:val="00ED4C03"/>
    <w:rsid w:val="00EE1904"/>
    <w:rsid w:val="00EF6EFC"/>
    <w:rsid w:val="00F5172B"/>
    <w:rsid w:val="00F923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2E2E1"/>
  <w15:docId w15:val="{F17FD6FC-E929-4985-A6A4-86638B19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574"/>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6574"/>
    <w:pPr>
      <w:tabs>
        <w:tab w:val="center" w:pos="4252"/>
        <w:tab w:val="right" w:pos="8504"/>
      </w:tabs>
    </w:pPr>
  </w:style>
  <w:style w:type="character" w:customStyle="1" w:styleId="EncabezadoCar">
    <w:name w:val="Encabezado Car"/>
    <w:basedOn w:val="Fuentedeprrafopredeter"/>
    <w:link w:val="Encabezado"/>
    <w:uiPriority w:val="99"/>
    <w:rsid w:val="004E6574"/>
    <w:rPr>
      <w:rFonts w:ascii="Times New Roman" w:eastAsia="Times New Roman" w:hAnsi="Times New Roman" w:cs="Times New Roman"/>
      <w:sz w:val="24"/>
      <w:szCs w:val="24"/>
      <w:lang w:val="es-CO" w:eastAsia="es-ES"/>
    </w:rPr>
  </w:style>
  <w:style w:type="paragraph" w:styleId="Piedepgina">
    <w:name w:val="footer"/>
    <w:basedOn w:val="Normal"/>
    <w:link w:val="PiedepginaCar"/>
    <w:uiPriority w:val="99"/>
    <w:unhideWhenUsed/>
    <w:rsid w:val="004E6574"/>
    <w:pPr>
      <w:tabs>
        <w:tab w:val="center" w:pos="4252"/>
        <w:tab w:val="right" w:pos="8504"/>
      </w:tabs>
    </w:pPr>
  </w:style>
  <w:style w:type="character" w:customStyle="1" w:styleId="PiedepginaCar">
    <w:name w:val="Pie de página Car"/>
    <w:basedOn w:val="Fuentedeprrafopredeter"/>
    <w:link w:val="Piedepgina"/>
    <w:uiPriority w:val="99"/>
    <w:rsid w:val="004E6574"/>
    <w:rPr>
      <w:rFonts w:ascii="Times New Roman" w:eastAsia="Times New Roman" w:hAnsi="Times New Roman" w:cs="Times New Roman"/>
      <w:sz w:val="24"/>
      <w:szCs w:val="24"/>
      <w:lang w:val="es-CO" w:eastAsia="es-ES"/>
    </w:rPr>
  </w:style>
  <w:style w:type="paragraph" w:styleId="Prrafodelista">
    <w:name w:val="List Paragraph"/>
    <w:basedOn w:val="Normal"/>
    <w:uiPriority w:val="34"/>
    <w:qFormat/>
    <w:rsid w:val="004E6574"/>
    <w:pPr>
      <w:widowControl w:val="0"/>
      <w:autoSpaceDE w:val="0"/>
      <w:autoSpaceDN w:val="0"/>
      <w:adjustRightInd w:val="0"/>
      <w:ind w:left="720"/>
      <w:contextualSpacing/>
    </w:pPr>
    <w:rPr>
      <w:rFonts w:ascii="Arial" w:hAnsi="Arial" w:cs="Arial"/>
      <w:sz w:val="20"/>
      <w:szCs w:val="20"/>
      <w:lang w:val="es-ES_tradnl" w:eastAsia="es-ES_tradnl"/>
    </w:rPr>
  </w:style>
  <w:style w:type="paragraph" w:styleId="Textodeglobo">
    <w:name w:val="Balloon Text"/>
    <w:basedOn w:val="Normal"/>
    <w:link w:val="TextodegloboCar"/>
    <w:uiPriority w:val="99"/>
    <w:semiHidden/>
    <w:unhideWhenUsed/>
    <w:rsid w:val="004E6574"/>
    <w:rPr>
      <w:rFonts w:ascii="Tahoma" w:hAnsi="Tahoma" w:cs="Tahoma"/>
      <w:sz w:val="16"/>
      <w:szCs w:val="16"/>
    </w:rPr>
  </w:style>
  <w:style w:type="character" w:customStyle="1" w:styleId="TextodegloboCar">
    <w:name w:val="Texto de globo Car"/>
    <w:basedOn w:val="Fuentedeprrafopredeter"/>
    <w:link w:val="Textodeglobo"/>
    <w:uiPriority w:val="99"/>
    <w:semiHidden/>
    <w:rsid w:val="004E6574"/>
    <w:rPr>
      <w:rFonts w:ascii="Tahoma" w:eastAsia="Times New Roman" w:hAnsi="Tahoma" w:cs="Tahoma"/>
      <w:sz w:val="16"/>
      <w:szCs w:val="16"/>
      <w:lang w:val="es-CO" w:eastAsia="es-ES"/>
    </w:rPr>
  </w:style>
  <w:style w:type="table" w:styleId="Tablaconcuadrcula">
    <w:name w:val="Table Grid"/>
    <w:basedOn w:val="Tablanormal"/>
    <w:uiPriority w:val="59"/>
    <w:rsid w:val="00677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833968"/>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761</TotalTime>
  <Pages>3</Pages>
  <Words>1021</Words>
  <Characters>5616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PCSEIS</dc:creator>
  <cp:keywords/>
  <dc:description/>
  <cp:lastModifiedBy>COMPUMAX</cp:lastModifiedBy>
  <cp:revision>44</cp:revision>
  <cp:lastPrinted>2022-06-02T12:56:00Z</cp:lastPrinted>
  <dcterms:created xsi:type="dcterms:W3CDTF">2017-03-08T14:06:00Z</dcterms:created>
  <dcterms:modified xsi:type="dcterms:W3CDTF">2025-05-28T02:49:00Z</dcterms:modified>
</cp:coreProperties>
</file>